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80C" w:rsidRDefault="00F0080C" w:rsidP="00F0080C">
      <w:pPr>
        <w:spacing w:after="0" w:line="240" w:lineRule="auto"/>
      </w:pPr>
    </w:p>
    <w:p w:rsidR="00F0080C" w:rsidRDefault="00F0080C" w:rsidP="00F0080C">
      <w:pPr>
        <w:spacing w:after="0" w:line="240" w:lineRule="auto"/>
      </w:pPr>
    </w:p>
    <w:p w:rsidR="00F0080C" w:rsidRDefault="005A72E1" w:rsidP="00F0080C">
      <w:pPr>
        <w:spacing w:after="0" w:line="240" w:lineRule="auto"/>
      </w:pPr>
      <w:r>
        <w:t xml:space="preserve">Dear </w:t>
      </w:r>
      <w:r w:rsidR="006B4A65">
        <w:rPr>
          <w:b/>
          <w:bCs/>
          <w:sz w:val="20"/>
          <w:szCs w:val="20"/>
        </w:rPr>
        <w:fldChar w:fldCharType="begin"/>
      </w:r>
      <w:r w:rsidR="006B4A65">
        <w:rPr>
          <w:b/>
          <w:bCs/>
          <w:sz w:val="20"/>
          <w:szCs w:val="20"/>
        </w:rPr>
        <w:instrText xml:space="preserve"> MERGEFIELD InvestorName </w:instrText>
      </w:r>
      <w:r w:rsidR="006B4A65">
        <w:rPr>
          <w:b/>
          <w:bCs/>
          <w:sz w:val="20"/>
          <w:szCs w:val="20"/>
        </w:rPr>
        <w:fldChar w:fldCharType="separate"/>
      </w:r>
      <w:r w:rsidR="006B4A65">
        <w:rPr>
          <w:b/>
          <w:bCs/>
          <w:noProof/>
          <w:sz w:val="20"/>
          <w:szCs w:val="20"/>
        </w:rPr>
        <w:t>«InvestorName»</w:t>
      </w:r>
      <w:r w:rsidR="006B4A65">
        <w:rPr>
          <w:b/>
          <w:bCs/>
          <w:sz w:val="20"/>
          <w:szCs w:val="20"/>
        </w:rPr>
        <w:fldChar w:fldCharType="end"/>
      </w:r>
      <w:r w:rsidR="006B4A65" w:rsidRPr="006B4A65">
        <w:rPr>
          <w:sz w:val="20"/>
          <w:szCs w:val="20"/>
        </w:rPr>
        <w:t>,</w:t>
      </w:r>
    </w:p>
    <w:p w:rsidR="00F0080C" w:rsidRDefault="00F0080C" w:rsidP="00F0080C">
      <w:pPr>
        <w:spacing w:after="0" w:line="240" w:lineRule="auto"/>
      </w:pPr>
    </w:p>
    <w:p w:rsidR="00F0080C" w:rsidRDefault="005A72E1" w:rsidP="00F0080C">
      <w:pPr>
        <w:spacing w:after="0" w:line="240" w:lineRule="auto"/>
      </w:pPr>
      <w:r>
        <w:t xml:space="preserve">Please find on the following page your Partners Capital Statement for </w:t>
      </w:r>
      <w:r w:rsidR="006B4A65" w:rsidRPr="006B4A65">
        <w:rPr>
          <w:b/>
          <w:bCs/>
          <w:noProof/>
        </w:rPr>
        <w:fldChar w:fldCharType="begin"/>
      </w:r>
      <w:r w:rsidR="006B4A65" w:rsidRPr="006B4A65">
        <w:rPr>
          <w:b/>
          <w:bCs/>
          <w:noProof/>
        </w:rPr>
        <w:instrText xml:space="preserve"> MERGEFIELD FundName </w:instrText>
      </w:r>
      <w:r w:rsidR="006B4A65" w:rsidRPr="006B4A65">
        <w:rPr>
          <w:b/>
          <w:bCs/>
          <w:noProof/>
        </w:rPr>
        <w:fldChar w:fldCharType="separate"/>
      </w:r>
      <w:r w:rsidR="006B4A65" w:rsidRPr="006B4A65">
        <w:rPr>
          <w:b/>
          <w:bCs/>
          <w:noProof/>
        </w:rPr>
        <w:t>«FundName»</w:t>
      </w:r>
      <w:r w:rsidR="006B4A65" w:rsidRPr="006B4A65">
        <w:rPr>
          <w:b/>
          <w:bCs/>
          <w:noProof/>
        </w:rPr>
        <w:fldChar w:fldCharType="end"/>
      </w:r>
      <w:r>
        <w:t>.</w:t>
      </w:r>
    </w:p>
    <w:p w:rsidR="00F0080C" w:rsidRDefault="00F0080C" w:rsidP="00F0080C">
      <w:pPr>
        <w:spacing w:after="0" w:line="240" w:lineRule="auto"/>
      </w:pPr>
    </w:p>
    <w:p w:rsidR="00F0080C" w:rsidRDefault="005A72E1" w:rsidP="00F0080C">
      <w:pPr>
        <w:spacing w:after="0" w:line="240" w:lineRule="auto"/>
      </w:pPr>
      <w:r>
        <w:t xml:space="preserve">Should you have any </w:t>
      </w:r>
      <w:r w:rsidR="006B4A65">
        <w:t>questions</w:t>
      </w:r>
      <w:r>
        <w:t xml:space="preserve"> regarding this correspondence</w:t>
      </w:r>
      <w:r w:rsidR="006B4A65">
        <w:t>,</w:t>
      </w:r>
      <w:r>
        <w:t xml:space="preserve"> please don’t hesitate to contact us.</w:t>
      </w:r>
    </w:p>
    <w:p w:rsidR="00F0080C" w:rsidRDefault="00F0080C" w:rsidP="00F0080C">
      <w:pPr>
        <w:spacing w:after="0" w:line="240" w:lineRule="auto"/>
      </w:pPr>
    </w:p>
    <w:p w:rsidR="00F0080C" w:rsidRDefault="005A72E1" w:rsidP="00F0080C">
      <w:pPr>
        <w:spacing w:after="0" w:line="240" w:lineRule="auto"/>
      </w:pPr>
      <w:r>
        <w:t>Yours sincerely</w:t>
      </w:r>
    </w:p>
    <w:p w:rsidR="00F0080C" w:rsidRDefault="00F0080C" w:rsidP="00F0080C">
      <w:pPr>
        <w:spacing w:after="0" w:line="240" w:lineRule="auto"/>
      </w:pPr>
    </w:p>
    <w:p w:rsidR="00F0080C" w:rsidRDefault="005A72E1" w:rsidP="00F0080C">
      <w:pPr>
        <w:spacing w:after="0" w:line="240" w:lineRule="auto"/>
      </w:pPr>
      <w:r>
        <w:rPr>
          <w:noProof/>
          <w:lang w:val="en-US"/>
        </w:rPr>
        <w:drawing>
          <wp:inline distT="0" distB="0" distL="0" distR="0">
            <wp:extent cx="1990725" cy="10382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382403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80C" w:rsidRDefault="00F0080C" w:rsidP="00F0080C">
      <w:pPr>
        <w:spacing w:after="0" w:line="240" w:lineRule="auto"/>
      </w:pPr>
    </w:p>
    <w:p w:rsidR="006B4A65" w:rsidRDefault="006B4A65" w:rsidP="006B4A65">
      <w:pPr>
        <w:spacing w:after="0" w:line="240" w:lineRule="auto"/>
      </w:pPr>
      <w:r>
        <w:t>John Doe</w:t>
      </w:r>
    </w:p>
    <w:p w:rsidR="006B4A65" w:rsidRDefault="006B4A65" w:rsidP="006B4A65">
      <w:pPr>
        <w:spacing w:after="0" w:line="240" w:lineRule="auto"/>
      </w:pPr>
      <w:r>
        <w:t>Director of Sales</w:t>
      </w:r>
    </w:p>
    <w:p w:rsidR="00DF3E24" w:rsidRDefault="006B4A65" w:rsidP="00F0080C">
      <w:pPr>
        <w:spacing w:after="0" w:line="240" w:lineRule="auto"/>
      </w:pPr>
      <w:proofErr w:type="spellStart"/>
      <w:r>
        <w:t>Vertice</w:t>
      </w:r>
      <w:proofErr w:type="spellEnd"/>
      <w:r>
        <w:t xml:space="preserve"> Technologies LLC</w:t>
      </w:r>
    </w:p>
    <w:p w:rsidR="00DF3E24" w:rsidRDefault="00DF3E24">
      <w:pPr>
        <w:rPr>
          <w:noProof/>
        </w:rPr>
        <w:sectPr w:rsidR="00DF3E24" w:rsidSect="00F008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0"/>
      </w:tblGrid>
      <w:tr w:rsidR="006C6E5D" w:rsidTr="00D5016C">
        <w:trPr>
          <w:jc w:val="center"/>
        </w:trPr>
        <w:tc>
          <w:tcPr>
            <w:tcW w:w="100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9"/>
              <w:gridCol w:w="279"/>
              <w:gridCol w:w="765"/>
              <w:gridCol w:w="704"/>
              <w:gridCol w:w="164"/>
              <w:gridCol w:w="1050"/>
              <w:gridCol w:w="259"/>
              <w:gridCol w:w="1728"/>
              <w:gridCol w:w="360"/>
              <w:gridCol w:w="315"/>
              <w:gridCol w:w="393"/>
              <w:gridCol w:w="1019"/>
              <w:gridCol w:w="360"/>
              <w:gridCol w:w="756"/>
              <w:gridCol w:w="945"/>
            </w:tblGrid>
            <w:tr w:rsidR="006C6E5D">
              <w:trPr>
                <w:trHeight w:val="786"/>
              </w:trPr>
              <w:tc>
                <w:tcPr>
                  <w:tcW w:w="97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34"/>
                    <w:gridCol w:w="357"/>
                  </w:tblGrid>
                  <w:tr w:rsidR="006C6E5D">
                    <w:trPr>
                      <w:trHeight w:val="864"/>
                    </w:trPr>
                    <w:tc>
                      <w:tcPr>
                        <w:tcW w:w="24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C6E5D" w:rsidRDefault="009E6AE9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  <w:lang w:val="en-US"/>
                          </w:rPr>
                          <w:lastRenderedPageBreak/>
                          <w:drawing>
                            <wp:anchor distT="0" distB="0" distL="114300" distR="114300" simplePos="0" relativeHeight="251658240" behindDoc="0" locked="0" layoutInCell="1" allowOverlap="1">
                              <wp:simplePos x="0" y="0"/>
                              <wp:positionH relativeFrom="column">
                                <wp:posOffset>435</wp:posOffset>
                              </wp:positionH>
                              <wp:positionV relativeFrom="paragraph">
                                <wp:posOffset>401</wp:posOffset>
                              </wp:positionV>
                              <wp:extent cx="1609090" cy="211455"/>
                              <wp:effectExtent l="0" t="0" r="0" b="0"/>
                              <wp:wrapThrough wrapText="bothSides">
                                <wp:wrapPolygon edited="0">
                                  <wp:start x="19435" y="0"/>
                                  <wp:lineTo x="0" y="3892"/>
                                  <wp:lineTo x="0" y="19459"/>
                                  <wp:lineTo x="20202" y="19459"/>
                                  <wp:lineTo x="21225" y="3892"/>
                                  <wp:lineTo x="21225" y="0"/>
                                  <wp:lineTo x="19435" y="0"/>
                                </wp:wrapPolygon>
                              </wp:wrapThrough>
                              <wp:docPr id="4" name="Picture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Main Color_Allvue Logo.png"/>
                                      <pic:cNvPicPr/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09090" cy="21145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</w:p>
                    </w:tc>
                    <w:tc>
                      <w:tcPr>
                        <w:tcW w:w="445" w:type="dxa"/>
                      </w:tcPr>
                      <w:p w:rsidR="006C6E5D" w:rsidRDefault="006C6E5D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center"/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9"/>
                    </w:rPr>
                    <w:t>Vertice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9"/>
                    </w:rPr>
                    <w:t xml:space="preserve"> Buyout Fund I</w:t>
                  </w:r>
                </w:p>
              </w:tc>
            </w:tr>
            <w:tr w:rsidR="006C6E5D">
              <w:trPr>
                <w:trHeight w:val="120"/>
              </w:trPr>
              <w:tc>
                <w:tcPr>
                  <w:tcW w:w="979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9"/>
                    </w:rPr>
                    <w:t>Unaudited Capital Account Statement</w:t>
                  </w:r>
                </w:p>
              </w:tc>
            </w:tr>
            <w:tr w:rsidR="006C6E5D">
              <w:trPr>
                <w:trHeight w:val="147"/>
              </w:trPr>
              <w:tc>
                <w:tcPr>
                  <w:tcW w:w="979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498"/>
              </w:trPr>
              <w:tc>
                <w:tcPr>
                  <w:tcW w:w="979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9"/>
                    </w:rPr>
                    <w:t>For the Period Ended December 31, 2018</w:t>
                  </w:r>
                </w:p>
              </w:tc>
            </w:tr>
            <w:tr w:rsidR="006C6E5D">
              <w:trPr>
                <w:trHeight w:val="22"/>
              </w:trPr>
              <w:tc>
                <w:tcPr>
                  <w:tcW w:w="979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</w:rPr>
                    <w:t>(Amounts in USD)</w:t>
                  </w:r>
                </w:p>
              </w:tc>
            </w:tr>
            <w:tr w:rsidR="006C6E5D">
              <w:trPr>
                <w:trHeight w:val="138"/>
              </w:trPr>
              <w:tc>
                <w:tcPr>
                  <w:tcW w:w="979" w:type="dxa"/>
                  <w:gridSpan w:val="15"/>
                  <w:tcBorders>
                    <w:top w:val="nil"/>
                    <w:left w:val="nil"/>
                    <w:bottom w:val="single" w:sz="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1578"/>
              </w:trPr>
              <w:tc>
                <w:tcPr>
                  <w:tcW w:w="979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6C6E5D" w:rsidRDefault="005A72E1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32"/>
                    </w:rPr>
                    <w:t>Big Bear Retirement Fund</w:t>
                  </w:r>
                </w:p>
              </w:tc>
            </w:tr>
            <w:tr w:rsidR="006C6E5D">
              <w:trPr>
                <w:trHeight w:val="325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64" w:type="dxa"/>
                  <w:gridSpan w:val="7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</w:rPr>
                    <w:t>Commitment Summary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Commitment: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$</w:t>
                  </w:r>
                </w:p>
              </w:tc>
              <w:tc>
                <w:tcPr>
                  <w:tcW w:w="3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320,000,000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Commitment Called to Date: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(110,343,568)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Recallable Distributions: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2,130,268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Unfunded Commitment: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tcBorders>
                    <w:top w:val="single" w:sz="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$</w:t>
                  </w:r>
                </w:p>
              </w:tc>
              <w:tc>
                <w:tcPr>
                  <w:tcW w:w="393" w:type="dxa"/>
                  <w:gridSpan w:val="2"/>
                  <w:tcBorders>
                    <w:top w:val="single" w:sz="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211,786,700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Percentage of Partnership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14.75%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04" w:type="dxa"/>
                  <w:gridSpan w:val="9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</w:rPr>
                    <w:t>Statement of Partner's Capital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</w:rPr>
                    <w:t>Quarter to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</w:rPr>
                    <w:t xml:space="preserve">Year to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</w:rPr>
                    <w:t>Inception to</w:t>
                  </w: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single" w:sz="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</w:rPr>
                    <w:t>Date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gridSpan w:val="3"/>
                  <w:tcBorders>
                    <w:top w:val="nil"/>
                    <w:left w:val="nil"/>
                    <w:bottom w:val="single" w:sz="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</w:rPr>
                    <w:t>Date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single" w:sz="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4"/>
                    </w:rPr>
                    <w:t>Date</w:t>
                  </w:r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Beginning Balance</w:t>
                  </w: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15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103,692,163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16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82,616,919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17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-</w:t>
                    </w:r>
                  </w:hyperlink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Contributions</w:t>
                  </w: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18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3,989,253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19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25,512,027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20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110,343,568</w:t>
                    </w:r>
                  </w:hyperlink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Distributions</w:t>
                  </w: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21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-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22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(249,391)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23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(31,550,895)</w:t>
                    </w:r>
                  </w:hyperlink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Net Management Fees</w:t>
                  </w: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24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(600,000)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25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(1,802,079)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26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(2,476,994)</w:t>
                    </w:r>
                  </w:hyperlink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Net Investment Gain / (Loss)</w:t>
                  </w: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27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15,085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28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7,541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29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(333,764)</w:t>
                    </w:r>
                  </w:hyperlink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Realized Appreciation / (Depreciation)</w:t>
                  </w: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30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55,482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31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242,143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32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9,834,612</w:t>
                    </w:r>
                  </w:hyperlink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Unrealized Appreciation / (Depreciation)</w:t>
                  </w: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33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39,887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34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864,710</w:t>
                    </w:r>
                  </w:hyperlink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35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21,375,343</w:t>
                    </w:r>
                  </w:hyperlink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5A72E1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/>
                      <w:color w:val="000000"/>
                    </w:rPr>
                    <w:t>Ending Balance</w:t>
                  </w: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single" w:sz="5" w:space="0" w:color="000000"/>
                    <w:left w:val="nil"/>
                    <w:bottom w:val="double" w:sz="8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36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$107,191,870</w:t>
                    </w:r>
                  </w:hyperlink>
                </w:p>
              </w:tc>
              <w:tc>
                <w:tcPr>
                  <w:tcW w:w="360" w:type="dxa"/>
                  <w:tcBorders>
                    <w:top w:val="single" w:sz="5" w:space="0" w:color="000000"/>
                    <w:left w:val="nil"/>
                    <w:bottom w:val="double" w:sz="8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gridSpan w:val="3"/>
                  <w:tcBorders>
                    <w:top w:val="single" w:sz="5" w:space="0" w:color="000000"/>
                    <w:left w:val="nil"/>
                    <w:bottom w:val="double" w:sz="8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37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$107,191,870</w:t>
                    </w:r>
                  </w:hyperlink>
                </w:p>
              </w:tc>
              <w:tc>
                <w:tcPr>
                  <w:tcW w:w="360" w:type="dxa"/>
                  <w:tcBorders>
                    <w:top w:val="single" w:sz="5" w:space="0" w:color="000000"/>
                    <w:left w:val="nil"/>
                    <w:bottom w:val="double" w:sz="8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gridSpan w:val="2"/>
                  <w:tcBorders>
                    <w:top w:val="single" w:sz="5" w:space="0" w:color="000000"/>
                    <w:left w:val="nil"/>
                    <w:bottom w:val="double" w:sz="8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262E4E">
                  <w:pPr>
                    <w:spacing w:after="0" w:line="240" w:lineRule="auto"/>
                    <w:jc w:val="right"/>
                  </w:pPr>
                  <w:hyperlink r:id="rId38" w:history="1">
                    <w:r w:rsidR="005A72E1">
                      <w:rPr>
                        <w:rFonts w:ascii="Times New Roman" w:eastAsia="Times New Roman" w:hAnsi="Times New Roman"/>
                        <w:color w:val="000000"/>
                      </w:rPr>
                      <w:t>$107,191,870</w:t>
                    </w:r>
                  </w:hyperlink>
                </w:p>
              </w:tc>
            </w:tr>
            <w:tr w:rsidR="006C6E5D">
              <w:trPr>
                <w:trHeight w:val="282"/>
              </w:trPr>
              <w:tc>
                <w:tcPr>
                  <w:tcW w:w="9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2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C6E5D" w:rsidRDefault="006C6E5D">
                  <w:pPr>
                    <w:spacing w:after="0" w:line="240" w:lineRule="auto"/>
                  </w:pPr>
                </w:p>
              </w:tc>
            </w:tr>
          </w:tbl>
          <w:p w:rsidR="006C6E5D" w:rsidRDefault="006C6E5D">
            <w:pPr>
              <w:spacing w:after="0" w:line="240" w:lineRule="auto"/>
            </w:pPr>
          </w:p>
        </w:tc>
        <w:bookmarkStart w:id="0" w:name="_GoBack"/>
        <w:bookmarkEnd w:id="0"/>
      </w:tr>
      <w:tr w:rsidR="006C6E5D" w:rsidTr="00D5016C">
        <w:trPr>
          <w:trHeight w:val="71"/>
          <w:jc w:val="center"/>
        </w:trPr>
        <w:tc>
          <w:tcPr>
            <w:tcW w:w="10080" w:type="dxa"/>
          </w:tcPr>
          <w:p w:rsidR="006C6E5D" w:rsidRDefault="006C6E5D">
            <w:pPr>
              <w:pStyle w:val="EmptyCellLayoutStyle"/>
              <w:spacing w:after="0" w:line="240" w:lineRule="auto"/>
            </w:pPr>
          </w:p>
        </w:tc>
      </w:tr>
    </w:tbl>
    <w:p w:rsidR="006C6E5D" w:rsidRDefault="006C6E5D" w:rsidP="00D5016C"/>
    <w:sectPr w:rsidR="006C6E5D" w:rsidSect="00BE312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E4E" w:rsidRDefault="00262E4E">
      <w:pPr>
        <w:spacing w:after="0" w:line="240" w:lineRule="auto"/>
      </w:pPr>
      <w:r>
        <w:separator/>
      </w:r>
    </w:p>
  </w:endnote>
  <w:endnote w:type="continuationSeparator" w:id="0">
    <w:p w:rsidR="00262E4E" w:rsidRDefault="00262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B83" w:rsidRDefault="002B1B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B83" w:rsidRDefault="002B1B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8630"/>
    </w:tblGrid>
    <w:tr w:rsidR="006C6E5D" w:rsidTr="00F0080C">
      <w:tc>
        <w:tcPr>
          <w:tcW w:w="863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0080C" w:rsidRDefault="00F0080C" w:rsidP="00F0080C">
          <w:pPr>
            <w:pStyle w:val="Footer"/>
            <w:jc w:val="center"/>
            <w:rPr>
              <w:rFonts w:asciiTheme="minorHAnsi" w:hAnsiTheme="minorHAnsi"/>
              <w:lang w:val="en-GB" w:eastAsia="en-GB"/>
            </w:rPr>
          </w:pPr>
        </w:p>
        <w:p w:rsidR="00F0080C" w:rsidRDefault="005A72E1" w:rsidP="00F0080C">
          <w:pPr>
            <w:pStyle w:val="Footer"/>
            <w:jc w:val="center"/>
            <w:rPr>
              <w:rFonts w:asciiTheme="minorHAnsi" w:hAnsiTheme="minorHAnsi"/>
              <w:lang w:val="en-GB" w:eastAsia="en-GB"/>
            </w:rPr>
          </w:pPr>
          <w:proofErr w:type="spellStart"/>
          <w:r>
            <w:rPr>
              <w:rFonts w:asciiTheme="minorHAnsi" w:hAnsiTheme="minorHAnsi"/>
              <w:lang w:val="en-GB" w:eastAsia="en-GB"/>
            </w:rPr>
            <w:t>Vertice</w:t>
          </w:r>
          <w:proofErr w:type="spellEnd"/>
          <w:r>
            <w:rPr>
              <w:rFonts w:asciiTheme="minorHAnsi" w:hAnsiTheme="minorHAnsi"/>
              <w:lang w:val="en-GB" w:eastAsia="en-GB"/>
            </w:rPr>
            <w:t xml:space="preserve"> Technologies LLC</w:t>
          </w:r>
        </w:p>
        <w:p w:rsidR="00F0080C" w:rsidRDefault="009E6AE9" w:rsidP="00F0080C">
          <w:pPr>
            <w:pStyle w:val="Footer"/>
            <w:jc w:val="center"/>
            <w:rPr>
              <w:rFonts w:asciiTheme="minorHAnsi" w:hAnsiTheme="minorHAnsi"/>
              <w:lang w:val="en-GB" w:eastAsia="en-GB"/>
            </w:rPr>
          </w:pPr>
          <w:r w:rsidRPr="0076652C">
            <w:rPr>
              <w:rFonts w:asciiTheme="minorHAnsi" w:hAnsiTheme="minorHAnsi"/>
            </w:rPr>
            <w:t xml:space="preserve">396 Alhambra Circle, </w:t>
          </w:r>
          <w:proofErr w:type="spellStart"/>
          <w:r w:rsidRPr="0076652C">
            <w:rPr>
              <w:rFonts w:asciiTheme="minorHAnsi" w:hAnsiTheme="minorHAnsi"/>
            </w:rPr>
            <w:t>Ste</w:t>
          </w:r>
          <w:proofErr w:type="spellEnd"/>
          <w:r w:rsidRPr="0076652C">
            <w:rPr>
              <w:rFonts w:asciiTheme="minorHAnsi" w:hAnsiTheme="minorHAnsi"/>
            </w:rPr>
            <w:t xml:space="preserve"> 1100, Coral Gables, FL 33134</w:t>
          </w:r>
        </w:p>
      </w:tc>
    </w:tr>
  </w:tbl>
  <w:p w:rsidR="00F0080C" w:rsidRDefault="00F00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E4E" w:rsidRDefault="00262E4E">
      <w:pPr>
        <w:spacing w:after="0" w:line="240" w:lineRule="auto"/>
      </w:pPr>
      <w:r>
        <w:separator/>
      </w:r>
    </w:p>
  </w:footnote>
  <w:footnote w:type="continuationSeparator" w:id="0">
    <w:p w:rsidR="00262E4E" w:rsidRDefault="00262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B83" w:rsidRDefault="002B1B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B83" w:rsidRDefault="002B1B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80C" w:rsidRDefault="009E6AE9" w:rsidP="00F0080C">
    <w:pPr>
      <w:pStyle w:val="Header"/>
      <w:jc w:val="center"/>
    </w:pPr>
    <w:r>
      <w:rPr>
        <w:noProof/>
        <w:lang w:val="en-US"/>
      </w:rPr>
      <w:drawing>
        <wp:inline distT="0" distB="0" distL="0" distR="0">
          <wp:extent cx="2743200" cy="361496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in Color_Allvue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200" cy="361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30"/>
    </w:tblGrid>
    <w:tr w:rsidR="006C6E5D" w:rsidTr="002B1B83">
      <w:trPr>
        <w:trHeight w:val="450"/>
      </w:trPr>
      <w:tc>
        <w:tcPr>
          <w:tcW w:w="863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F0080C" w:rsidRDefault="00F0080C" w:rsidP="00F0080C">
          <w:pPr>
            <w:pStyle w:val="Header"/>
            <w:jc w:val="center"/>
            <w:rPr>
              <w:lang w:val="en-GB" w:eastAsia="en-GB"/>
            </w:rPr>
          </w:pPr>
        </w:p>
      </w:tc>
    </w:tr>
  </w:tbl>
  <w:p w:rsidR="00F0080C" w:rsidRDefault="00F0080C" w:rsidP="00F0080C">
    <w:pPr>
      <w:pStyle w:val="Header"/>
      <w:jc w:val="center"/>
      <w:rPr>
        <w:lang w:val="en-US"/>
      </w:rPr>
    </w:pPr>
  </w:p>
  <w:p w:rsidR="00F0080C" w:rsidRDefault="00F0080C" w:rsidP="00F0080C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511"/>
    <w:rsid w:val="000426C7"/>
    <w:rsid w:val="00252F26"/>
    <w:rsid w:val="00262E4E"/>
    <w:rsid w:val="002B1B83"/>
    <w:rsid w:val="00307D99"/>
    <w:rsid w:val="003415DC"/>
    <w:rsid w:val="00344511"/>
    <w:rsid w:val="005A72E1"/>
    <w:rsid w:val="006B4A65"/>
    <w:rsid w:val="006C6E5D"/>
    <w:rsid w:val="009D3F6E"/>
    <w:rsid w:val="009E6AE9"/>
    <w:rsid w:val="00BE3124"/>
    <w:rsid w:val="00C0629A"/>
    <w:rsid w:val="00CB5AE9"/>
    <w:rsid w:val="00D5016C"/>
    <w:rsid w:val="00DF3E24"/>
    <w:rsid w:val="00EA351C"/>
    <w:rsid w:val="00F0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2215F"/>
  <w15:chartTrackingRefBased/>
  <w15:docId w15:val="{8F52CA35-11A3-4041-8A82-9D4A0660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008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080C"/>
  </w:style>
  <w:style w:type="paragraph" w:styleId="Footer">
    <w:name w:val="footer"/>
    <w:basedOn w:val="Normal"/>
    <w:link w:val="FooterChar"/>
    <w:unhideWhenUsed/>
    <w:rsid w:val="00F008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0080C"/>
  </w:style>
  <w:style w:type="table" w:styleId="TableGrid">
    <w:name w:val="Table Grid"/>
    <w:basedOn w:val="TableNormal"/>
    <w:rsid w:val="00F00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javascript:void(window.open('https://cloudappsdemoportal.altareturn.com/_layouts/ReportServer/RSViewerPage.aspx?rv:RelativeReportUrl=/Reports/Contributions.rdl&amp;rs:Command=Render&amp;rp:StartDate=2018/10/01&amp;rp:AsOfDate=2018/12/31&amp;rp:DateChoice=Custom&amp;rp:FundKey=128&amp;rp:InvestorKey=473&amp;rp:IncludeReversed=False'))" TargetMode="External"/><Relationship Id="rId26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2/01/01&amp;rp:AsOfDate=2018/12/31&amp;rp:CompanyGroup=VBUYOUT&amp;rp:InvestingEntityIDName=128&amp;rp:InvestorNo=INV00005&amp;rp:TimeFrame=LTD&amp;rp:Reportline=Net%20Management%20Fees&amp;rp:Currency=CCY&amp;rp:CurrencyCode=True&amp;rp:IncludeReversed=False'))" TargetMode="External"/><Relationship Id="rId39" Type="http://schemas.openxmlformats.org/officeDocument/2006/relationships/fontTable" Target="fontTable.xml"/><Relationship Id="rId21" Type="http://schemas.openxmlformats.org/officeDocument/2006/relationships/hyperlink" Target="javascript:void(window.open('https://cloudappsdemoportal.altareturn.com/_layouts/ReportServer/RSViewerPage.aspx?rv:RelativeReportUrl=/Reports/Distributions.rdl&amp;rs:Command=Render&amp;rp:StartDate=2018/10/01&amp;rp:AsOfDate=2018/12/31&amp;rp:DateChoice=Custom&amp;rp:FundKey=128&amp;rp:InvestorKey=473&amp;rp:IncludeReversed=False'))" TargetMode="External"/><Relationship Id="rId34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01/01&amp;rp:AsOfDate=2018/12/31&amp;rp:CompanyGroup=VBUYOUT&amp;rp:InvestingEntityIDName=128&amp;rp:InvestorNo=INV00005&amp;rp:TimeFrame=DTD&amp;rp:Reportline=Unrealized%20Appreciation%20/%20(Depreciation)&amp;rp:Currency=CCY&amp;rp:CurrencyCode=True&amp;rp:IncludeReversed=False'))" TargetMode="Externa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2/01/01&amp;rp:AsOfDate=2018/12/31&amp;rp:CompanyGroup=VBUYOUT&amp;rp:InvestingEntityIDName=128&amp;rp:InvestorNo=INV00005&amp;rp:TimeFrame=BGN&amp;rp:Reportline=Beginning%20Balance&amp;rp:Currency=CCY&amp;rp:CurrencyCode=True&amp;rp:IncludeReversed=False'))" TargetMode="External"/><Relationship Id="rId25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01/01&amp;rp:AsOfDate=2018/12/31&amp;rp:CompanyGroup=VBUYOUT&amp;rp:InvestingEntityIDName=128&amp;rp:InvestorNo=INV00005&amp;rp:TimeFrame=DTD&amp;rp:Reportline=Net%20Management%20Fees&amp;rp:Currency=CCY&amp;rp:CurrencyCode=True&amp;rp:IncludeReversed=False'))" TargetMode="External"/><Relationship Id="rId33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10/01&amp;rp:AsOfDate=2018/12/31&amp;rp:CompanyGroup=VBUYOUT&amp;rp:InvestingEntityIDName=128&amp;rp:InvestorNo=INV00005&amp;rp:TimeFrame=DTD&amp;rp:Reportline=Unrealized%20Appreciation%20/%20(Depreciation)&amp;rp:Currency=CCY&amp;rp:CurrencyCode=True&amp;rp:IncludeReversed=False'))" TargetMode="External"/><Relationship Id="rId38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2/01/01&amp;rp:AsOfDate=2018/12/31&amp;rp:CompanyGroup=VBUYOUT&amp;rp:InvestingEntityIDName=128&amp;rp:InvestorNo=INV00005&amp;rp:TimeFrame=LTD&amp;rp:Reportline=Ending%20Balance&amp;rp:Currency=CCY&amp;rp:CurrencyCode=True&amp;rp:IncludeReversed=False'))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01/01&amp;rp:AsOfDate=2018/12/31&amp;rp:CompanyGroup=VBUYOUT&amp;rp:InvestingEntityIDName=128&amp;rp:InvestorNo=INV00005&amp;rp:TimeFrame=BGN&amp;rp:Reportline=Beginning%20Balance&amp;rp:Currency=CCY&amp;rp:CurrencyCode=True&amp;rp:IncludeReversed=False'))" TargetMode="External"/><Relationship Id="rId20" Type="http://schemas.openxmlformats.org/officeDocument/2006/relationships/hyperlink" Target="javascript:void(window.open('https://cloudappsdemoportal.altareturn.com/_layouts/ReportServer/RSViewerPage.aspx?rv:RelativeReportUrl=/Reports/Contributions.rdl&amp;rs:Command=Render&amp;rp:StartDate=2012/01/01&amp;rp:AsOfDate=2018/12/31&amp;rp:DateChoice=Custom&amp;rp:FundKey=128&amp;rp:InvestorKey=473&amp;rp:IncludeReversed=False'))" TargetMode="External"/><Relationship Id="rId29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2/01/01&amp;rp:AsOfDate=2018/12/31&amp;rp:CompanyGroup=VBUYOUT&amp;rp:InvestingEntityIDName=128&amp;rp:InvestorNo=INV00005&amp;rp:TimeFrame=LTD&amp;rp:Reportline=Net%20Investment%20Gain%20/%20(Loss)&amp;rp:Currency=CCY&amp;rp:CurrencyCode=True&amp;rp:IncludeReversed=False'))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10/01&amp;rp:AsOfDate=2018/12/31&amp;rp:CompanyGroup=VBUYOUT&amp;rp:InvestingEntityIDName=128&amp;rp:InvestorNo=INV00005&amp;rp:TimeFrame=DTD&amp;rp:Reportline=Net%20Management%20Fees&amp;rp:Currency=CCY&amp;rp:CurrencyCode=True&amp;rp:IncludeReversed=False'))" TargetMode="External"/><Relationship Id="rId32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2/01/01&amp;rp:AsOfDate=2018/12/31&amp;rp:InvestingEntityIDName=128&amp;rp:InvestorNo=INV00005&amp;rp:TimeFrame=LTD&amp;rp:Reportline=Realized%20Appreciation%20/%20(Depreciation)&amp;rp:Currency=CCY&amp;rp:CurrencyCode=True&amp;rp:IncludeReversed=False'))" TargetMode="External"/><Relationship Id="rId37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01/01&amp;rp:AsOfDate=2018/12/31&amp;rp:CompanyGroup=VBUYOUT&amp;rp:InvestingEntityIDName=128&amp;rp:InvestorNo=INV00005&amp;rp:TimeFrame=LTD&amp;rp:Reportline=Ending%20Balance&amp;rp:Currency=CCY&amp;rp:CurrencyCode=True&amp;rp:IncludeReversed=False'))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10/01&amp;rp:AsOfDate=2018/12/31&amp;rp:CompanyGroup=VBUYOUT&amp;rp:InvestingEntityIDName=128&amp;rp:InvestorNo=INV00005&amp;rp:TimeFrame=BGN&amp;rp:Reportline=Beginning%20Balance&amp;rp:Currency=CCY&amp;rp:CurrencyCode=True&amp;rp:IncludeReversed=False'))" TargetMode="External"/><Relationship Id="rId23" Type="http://schemas.openxmlformats.org/officeDocument/2006/relationships/hyperlink" Target="javascript:void(window.open('https://cloudappsdemoportal.altareturn.com/_layouts/ReportServer/RSViewerPage.aspx?rv:RelativeReportUrl=/Reports/Distributions.rdl&amp;rs:Command=Render&amp;rp:StartDate=2012/01/01&amp;rp:AsOfDate=2018/12/31&amp;rp:DateChoice=Custom&amp;rp:FundKey=128&amp;rp:InvestorKey=473&amp;rp:IncludeReversed=False'))" TargetMode="External"/><Relationship Id="rId28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01/01&amp;rp:AsOfDate=2018/12/31&amp;rp:CompanyGroup=VBUYOUT&amp;rp:InvestingEntityIDName=128&amp;rp:InvestorNo=INV00005&amp;rp:TimeFrame=DTD&amp;rp:Reportline=Net%20Investment%20Gain%20/%20(Loss)&amp;rp:Currency=CCY&amp;rp:CurrencyCode=True&amp;rp:IncludeReversed=False'))" TargetMode="External"/><Relationship Id="rId36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10/01&amp;rp:AsOfDate=2018/12/31&amp;rp:CompanyGroup=VBUYOUT&amp;rp:InvestingEntityIDName=128&amp;rp:InvestorNo=INV00005&amp;rp:TimeFrame=LTD&amp;rp:Reportline=Ending%20Balance&amp;rp:Currency=CCY&amp;rp:CurrencyCode=True&amp;rp:IncludeReversed=False'))" TargetMode="External"/><Relationship Id="rId10" Type="http://schemas.openxmlformats.org/officeDocument/2006/relationships/footer" Target="footer1.xml"/><Relationship Id="rId19" Type="http://schemas.openxmlformats.org/officeDocument/2006/relationships/hyperlink" Target="javascript:void(window.open('https://cloudappsdemoportal.altareturn.com/_layouts/ReportServer/RSViewerPage.aspx?rv:RelativeReportUrl=/Reports/Contributions.rdl&amp;rs:Command=Render&amp;rp:StartDate=2018/01/01&amp;rp:AsOfDate=2018/12/31&amp;rp:DateChoice=Custom&amp;rp:FundKey=128&amp;rp:InvestorKey=473&amp;rp:IncludeReversed=False'))" TargetMode="External"/><Relationship Id="rId31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01/01&amp;rp:AsOfDate=2018/12/31&amp;rp:CompanyGroup=VBUYOUT&amp;rp:InvestingEntityIDName=128&amp;rp:InvestorNo=INV00005&amp;rp:TimeFrame=DTD&amp;rp:Reportline=Realized%20Appreciation%20/%20(Depreciation)&amp;rp:Currency=CCY&amp;rp:CurrencyCode=True&amp;rp:IncludeReversed=False'))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png"/><Relationship Id="rId22" Type="http://schemas.openxmlformats.org/officeDocument/2006/relationships/hyperlink" Target="javascript:void(window.open('https://cloudappsdemoportal.altareturn.com/_layouts/ReportServer/RSViewerPage.aspx?rv:RelativeReportUrl=/Reports/Distributions.rdl&amp;rs:Command=Render&amp;rp:StartDate=2018/01/01&amp;rp:AsOfDate=2018/12/31&amp;rp:DateChoice=Custom&amp;rp:FundKey=128&amp;rp:InvestorKey=473&amp;rp:IncludeReversed=False'))" TargetMode="External"/><Relationship Id="rId27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10/01&amp;rp:AsOfDate=2018/12/31&amp;rp:CompanyGroup=VBUYOUT&amp;rp:InvestingEntityIDName=128&amp;rp:InvestorNo=INV00005&amp;rp:TimeFrame=DTD&amp;rp:Reportline=Net%20Investment%20Gain%20/%20(Loss)&amp;rp:Currency=CCY&amp;rp:CurrencyCode=True&amp;rp:IncludeReversed=False'))" TargetMode="External"/><Relationship Id="rId30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8/10/01&amp;rp:AsOfDate=2018/12/31&amp;rp:CompanyGroup=VBUYOUT&amp;rp:InvestingEntityIDName=128&amp;rp:InvestorNo=INV00005&amp;rp:TimeFrame=DTD&amp;rp:Reportline=Realized%20Appreciation%20/%20(Depreciation)&amp;rp:Currency=CCY&amp;rp:CurrencyCode=True&amp;rp:IncludeReversed=False'))" TargetMode="External"/><Relationship Id="rId35" Type="http://schemas.openxmlformats.org/officeDocument/2006/relationships/hyperlink" Target="javascript:void(window.open('https://cloudappsdemoportal.altareturn.com/_layouts/ReportServer/RSViewerPage.aspx?rv:RelativeReportUrl=/Reports/Investor%20Drill.rdl&amp;rs:Command=Render&amp;rp:StartDate=2012/01/01&amp;rp:AsOfDate=2018/12/31&amp;rp:CompanyGroup=VBUYOUT&amp;rp:InvestingEntityIDName=128&amp;rp:InvestorNo=INV00005&amp;rp:TimeFrame=LTD&amp;rp:Reportline=Unrealized%20Appreciation%20/%20(Depreciation)&amp;rp:Currency=CCY&amp;rp:CurrencyCode=True&amp;rp:IncludeReversed=False'))" TargetMode="External"/><Relationship Id="rId8" Type="http://schemas.openxmlformats.org/officeDocument/2006/relationships/header" Target="header1.xml"/><Relationship Id="rId3" Type="http://schemas.openxmlformats.org/officeDocument/2006/relationships/settings" Target="setting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467E4-84D8-43FF-B293-4249FC4FE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1379</Words>
  <Characters>9973</Characters>
  <Application>Microsoft Office Word</Application>
  <DocSecurity>0</DocSecurity>
  <Lines>997</Lines>
  <Paragraphs>420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 Oyns</dc:creator>
  <cp:lastModifiedBy>Liz Speier</cp:lastModifiedBy>
  <cp:revision>5</cp:revision>
  <dcterms:created xsi:type="dcterms:W3CDTF">2021-08-16T18:24:00Z</dcterms:created>
  <dcterms:modified xsi:type="dcterms:W3CDTF">2021-08-16T20:57:00Z</dcterms:modified>
</cp:coreProperties>
</file>